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7F6EA" w14:textId="77777777" w:rsidR="00AD5C88" w:rsidRPr="00CA2F8A" w:rsidRDefault="001E08EE" w:rsidP="001F321E">
      <w:pPr>
        <w:pStyle w:val="Prrafodelista"/>
        <w:numPr>
          <w:ilvl w:val="0"/>
          <w:numId w:val="1"/>
        </w:numPr>
        <w:spacing w:line="360" w:lineRule="auto"/>
        <w:jc w:val="both"/>
        <w:rPr>
          <w:rFonts w:ascii="Arial" w:hAnsi="Arial" w:cs="Arial"/>
          <w:b/>
        </w:rPr>
      </w:pPr>
      <w:bookmarkStart w:id="0" w:name="_GoBack"/>
      <w:bookmarkEnd w:id="0"/>
      <w:r w:rsidRPr="00CA2F8A">
        <w:rPr>
          <w:rFonts w:ascii="Arial" w:hAnsi="Arial" w:cs="Arial"/>
          <w:b/>
        </w:rPr>
        <w:t xml:space="preserve">Planea: elabora </w:t>
      </w:r>
      <w:r w:rsidR="00536B04" w:rsidRPr="00CA2F8A">
        <w:rPr>
          <w:rFonts w:ascii="Arial" w:hAnsi="Arial" w:cs="Arial"/>
          <w:b/>
        </w:rPr>
        <w:t>un plan de trabajo institucional de</w:t>
      </w:r>
      <w:r w:rsidRPr="00CA2F8A">
        <w:rPr>
          <w:rFonts w:ascii="Arial" w:hAnsi="Arial" w:cs="Arial"/>
          <w:b/>
        </w:rPr>
        <w:t xml:space="preserve"> gobierno abierto.</w:t>
      </w:r>
    </w:p>
    <w:p w14:paraId="5D4870DB" w14:textId="77777777" w:rsidR="001E08EE" w:rsidRPr="00CA2F8A" w:rsidRDefault="001E08EE" w:rsidP="001F321E">
      <w:pPr>
        <w:pStyle w:val="Prrafodelista"/>
        <w:numPr>
          <w:ilvl w:val="0"/>
          <w:numId w:val="2"/>
        </w:numPr>
        <w:jc w:val="both"/>
        <w:rPr>
          <w:rFonts w:ascii="Arial" w:hAnsi="Arial" w:cs="Arial"/>
          <w:b/>
        </w:rPr>
      </w:pPr>
      <w:r w:rsidRPr="00CA2F8A">
        <w:rPr>
          <w:rFonts w:ascii="Arial" w:hAnsi="Arial" w:cs="Arial"/>
          <w:b/>
        </w:rPr>
        <w:t>A. Establece una meta en acceso a la información.</w:t>
      </w:r>
    </w:p>
    <w:p w14:paraId="709451F0" w14:textId="77777777" w:rsidR="00C84BFC" w:rsidRPr="00CA2F8A" w:rsidRDefault="00C84BFC" w:rsidP="001F321E">
      <w:pPr>
        <w:jc w:val="both"/>
        <w:rPr>
          <w:rFonts w:ascii="Arial" w:hAnsi="Arial" w:cs="Arial"/>
          <w:u w:val="single"/>
        </w:rPr>
      </w:pPr>
      <w:r w:rsidRPr="00CA2F8A">
        <w:rPr>
          <w:rFonts w:ascii="Arial" w:hAnsi="Arial" w:cs="Arial"/>
          <w:u w:val="single"/>
        </w:rPr>
        <w:t>Acciones a realizar:</w:t>
      </w:r>
    </w:p>
    <w:p w14:paraId="051847EC" w14:textId="77777777" w:rsidR="00C84BFC" w:rsidRPr="0003232B" w:rsidRDefault="00C84BFC" w:rsidP="001F321E">
      <w:pPr>
        <w:pStyle w:val="Prrafodelista"/>
        <w:numPr>
          <w:ilvl w:val="0"/>
          <w:numId w:val="6"/>
        </w:numPr>
        <w:jc w:val="both"/>
        <w:rPr>
          <w:rFonts w:ascii="Arial" w:hAnsi="Arial" w:cs="Arial"/>
          <w:b/>
        </w:rPr>
      </w:pPr>
      <w:r w:rsidRPr="0003232B">
        <w:rPr>
          <w:rFonts w:ascii="Arial" w:hAnsi="Arial" w:cs="Arial"/>
          <w:b/>
        </w:rPr>
        <w:t>Análisis de atención de las solicit</w:t>
      </w:r>
      <w:r w:rsidR="001F321E" w:rsidRPr="0003232B">
        <w:rPr>
          <w:rFonts w:ascii="Arial" w:hAnsi="Arial" w:cs="Arial"/>
          <w:b/>
        </w:rPr>
        <w:t>udes de acceso a la información</w:t>
      </w:r>
    </w:p>
    <w:p w14:paraId="3388675A" w14:textId="2EB13FCA" w:rsidR="002545E0" w:rsidRDefault="001F321E" w:rsidP="00B95ECC">
      <w:pPr>
        <w:pStyle w:val="Prrafodelista"/>
        <w:jc w:val="both"/>
        <w:rPr>
          <w:rFonts w:ascii="Arial" w:hAnsi="Arial" w:cs="Arial"/>
        </w:rPr>
      </w:pPr>
      <w:r>
        <w:rPr>
          <w:rFonts w:ascii="Arial" w:hAnsi="Arial" w:cs="Arial"/>
        </w:rPr>
        <w:t>El Centro de Investigación y de Estudios Avanzados del Instit</w:t>
      </w:r>
      <w:r w:rsidR="00B63B56">
        <w:rPr>
          <w:rFonts w:ascii="Arial" w:hAnsi="Arial" w:cs="Arial"/>
        </w:rPr>
        <w:t xml:space="preserve">uto Politécnico Nacional </w:t>
      </w:r>
      <w:r w:rsidR="002545E0">
        <w:rPr>
          <w:rFonts w:ascii="Arial" w:hAnsi="Arial" w:cs="Arial"/>
        </w:rPr>
        <w:t xml:space="preserve">de acuerdo con lo establecido por la normatividad, son </w:t>
      </w:r>
      <w:r w:rsidR="00B63B56">
        <w:rPr>
          <w:rFonts w:ascii="Arial" w:hAnsi="Arial" w:cs="Arial"/>
        </w:rPr>
        <w:t>20</w:t>
      </w:r>
      <w:r>
        <w:rPr>
          <w:rFonts w:ascii="Arial" w:hAnsi="Arial" w:cs="Arial"/>
        </w:rPr>
        <w:t xml:space="preserve"> días hábiles</w:t>
      </w:r>
      <w:r w:rsidR="004E26A9">
        <w:rPr>
          <w:rFonts w:ascii="Arial" w:hAnsi="Arial" w:cs="Arial"/>
        </w:rPr>
        <w:t xml:space="preserve"> </w:t>
      </w:r>
      <w:r>
        <w:rPr>
          <w:rFonts w:ascii="Arial" w:hAnsi="Arial" w:cs="Arial"/>
        </w:rPr>
        <w:t>para la atención de las solicitudes de acceso a la información</w:t>
      </w:r>
      <w:r w:rsidR="002545E0">
        <w:rPr>
          <w:rFonts w:ascii="Arial" w:hAnsi="Arial" w:cs="Arial"/>
        </w:rPr>
        <w:t xml:space="preserve">; no obstante, con la finalidad de dar prontitud en la atención de las mismas, el Comité de Transparencia aprobó que las Unidades Administrativas en un plazo máximo de 8 días hábiles den respuesta a las solicitudes información de su competencia. Asimismo, </w:t>
      </w:r>
      <w:r w:rsidR="0083298E">
        <w:rPr>
          <w:rFonts w:ascii="Arial" w:hAnsi="Arial" w:cs="Arial"/>
        </w:rPr>
        <w:t xml:space="preserve">con la finalidad de agilizar el trámite de las solicitudes, </w:t>
      </w:r>
      <w:r w:rsidR="002545E0">
        <w:rPr>
          <w:rFonts w:ascii="Arial" w:hAnsi="Arial" w:cs="Arial"/>
        </w:rPr>
        <w:t>se estableció</w:t>
      </w:r>
      <w:r w:rsidR="0083298E">
        <w:rPr>
          <w:rFonts w:ascii="Arial" w:hAnsi="Arial" w:cs="Arial"/>
        </w:rPr>
        <w:t xml:space="preserve"> y aprobó</w:t>
      </w:r>
      <w:r w:rsidR="002545E0">
        <w:rPr>
          <w:rFonts w:ascii="Arial" w:hAnsi="Arial" w:cs="Arial"/>
        </w:rPr>
        <w:t xml:space="preserve"> un formato específico con el cual se turna una solicitud de información a las </w:t>
      </w:r>
      <w:r w:rsidR="00DC05EE">
        <w:rPr>
          <w:rFonts w:ascii="Arial" w:hAnsi="Arial" w:cs="Arial"/>
        </w:rPr>
        <w:t xml:space="preserve"> </w:t>
      </w:r>
      <w:r w:rsidR="002545E0">
        <w:rPr>
          <w:rFonts w:ascii="Arial" w:hAnsi="Arial" w:cs="Arial"/>
        </w:rPr>
        <w:t>unidades administrativas.</w:t>
      </w:r>
    </w:p>
    <w:p w14:paraId="7580AE64" w14:textId="77777777" w:rsidR="00113EEE" w:rsidRDefault="005733ED" w:rsidP="001F321E">
      <w:pPr>
        <w:pStyle w:val="Prrafodelista"/>
        <w:jc w:val="both"/>
        <w:rPr>
          <w:rFonts w:ascii="Arial" w:hAnsi="Arial" w:cs="Arial"/>
        </w:rPr>
      </w:pPr>
      <w:r>
        <w:rPr>
          <w:rFonts w:ascii="Arial" w:hAnsi="Arial" w:cs="Arial"/>
        </w:rPr>
        <w:t>El personal de cada área a quien se turna la solicitud de información se encuentra debidamente capacitado para dar respuesta a las solicitudes y se cuenta con el equipo necesario para dar atención a las mismas.</w:t>
      </w:r>
    </w:p>
    <w:p w14:paraId="2D77F395" w14:textId="77777777" w:rsidR="00F1104D" w:rsidRPr="00CA2F8A" w:rsidRDefault="00F1104D" w:rsidP="001F321E">
      <w:pPr>
        <w:pStyle w:val="Prrafodelista"/>
        <w:jc w:val="both"/>
        <w:rPr>
          <w:rFonts w:ascii="Arial" w:hAnsi="Arial" w:cs="Arial"/>
        </w:rPr>
      </w:pPr>
    </w:p>
    <w:p w14:paraId="6DC87664" w14:textId="0CC8B548" w:rsidR="00C84BFC" w:rsidRPr="00E018E3" w:rsidRDefault="00C84BFC" w:rsidP="001F321E">
      <w:pPr>
        <w:pStyle w:val="Prrafodelista"/>
        <w:numPr>
          <w:ilvl w:val="0"/>
          <w:numId w:val="6"/>
        </w:numPr>
        <w:jc w:val="both"/>
        <w:rPr>
          <w:rFonts w:ascii="Arial" w:hAnsi="Arial" w:cs="Arial"/>
          <w:b/>
        </w:rPr>
      </w:pPr>
      <w:r w:rsidRPr="00E018E3">
        <w:rPr>
          <w:rFonts w:ascii="Arial" w:hAnsi="Arial" w:cs="Arial"/>
          <w:b/>
        </w:rPr>
        <w:t>Est</w:t>
      </w:r>
      <w:r w:rsidR="00CA2F8A" w:rsidRPr="00E018E3">
        <w:rPr>
          <w:rFonts w:ascii="Arial" w:hAnsi="Arial" w:cs="Arial"/>
          <w:b/>
        </w:rPr>
        <w:t>ablecer una meta para mejorar la atención de las solicit</w:t>
      </w:r>
      <w:r w:rsidR="00103391">
        <w:rPr>
          <w:rFonts w:ascii="Arial" w:hAnsi="Arial" w:cs="Arial"/>
          <w:b/>
        </w:rPr>
        <w:t>udes de acceso a la información</w:t>
      </w:r>
    </w:p>
    <w:p w14:paraId="52D55797" w14:textId="7D158ECF" w:rsidR="00F1104D" w:rsidRDefault="00AD5C88" w:rsidP="00AD5C88">
      <w:pPr>
        <w:pStyle w:val="Prrafodelista"/>
        <w:jc w:val="both"/>
        <w:rPr>
          <w:rFonts w:ascii="Arial" w:hAnsi="Arial" w:cs="Arial"/>
        </w:rPr>
      </w:pPr>
      <w:r>
        <w:rPr>
          <w:rFonts w:ascii="Arial" w:hAnsi="Arial" w:cs="Arial"/>
        </w:rPr>
        <w:t>A efecto de mejorar la atención a las solicitudes de información en el oficio que es turnado a las unidades administrativas, se adjunta un anexo, el cual establece plazos y fundamento, en caso de ser aplicable, a los casos en el que deben declarar la inexistencia a la información, clasificar información como reservada o confidencial, no es competencia del área, etc. Esto con la finalidad de garantizar a la ciudadanía la correcta atención a las solicitudes de información.</w:t>
      </w:r>
    </w:p>
    <w:p w14:paraId="5D8E182A" w14:textId="77777777" w:rsidR="00F1104D" w:rsidRPr="00F1104D" w:rsidRDefault="00F1104D" w:rsidP="00F1104D">
      <w:pPr>
        <w:pStyle w:val="Prrafodelista"/>
        <w:jc w:val="both"/>
        <w:rPr>
          <w:rFonts w:ascii="Arial" w:hAnsi="Arial" w:cs="Arial"/>
        </w:rPr>
      </w:pPr>
    </w:p>
    <w:p w14:paraId="2F41FB12" w14:textId="1B454913" w:rsidR="00CA2F8A" w:rsidRDefault="00CA2F8A" w:rsidP="00BF016F">
      <w:pPr>
        <w:pStyle w:val="Prrafodelista"/>
        <w:numPr>
          <w:ilvl w:val="0"/>
          <w:numId w:val="6"/>
        </w:numPr>
        <w:jc w:val="both"/>
        <w:rPr>
          <w:rFonts w:ascii="Arial" w:hAnsi="Arial" w:cs="Arial"/>
          <w:b/>
        </w:rPr>
      </w:pPr>
      <w:r w:rsidRPr="0003232B">
        <w:rPr>
          <w:rFonts w:ascii="Arial" w:hAnsi="Arial" w:cs="Arial"/>
          <w:b/>
        </w:rPr>
        <w:t>Desarrollar el proyecto de acceso a la información c</w:t>
      </w:r>
      <w:r w:rsidR="009C7A64">
        <w:rPr>
          <w:rFonts w:ascii="Arial" w:hAnsi="Arial" w:cs="Arial"/>
          <w:b/>
        </w:rPr>
        <w:t>on base en la meta establecida.</w:t>
      </w:r>
    </w:p>
    <w:p w14:paraId="113098F5" w14:textId="54A84784" w:rsidR="009C7A64" w:rsidRDefault="009C7A64" w:rsidP="00D06AC5">
      <w:pPr>
        <w:pStyle w:val="Prrafodelista"/>
        <w:jc w:val="both"/>
        <w:rPr>
          <w:rFonts w:ascii="Arial" w:hAnsi="Arial" w:cs="Arial"/>
        </w:rPr>
      </w:pPr>
      <w:r>
        <w:rPr>
          <w:rFonts w:ascii="Arial" w:hAnsi="Arial" w:cs="Arial"/>
        </w:rPr>
        <w:t>En las diversas respuestas a las solicitudes de información, que se han detectado de las unidades administrativas, es la omisión en algún punto del contenido de la solicitud de información, lo cual la unidad de transparencia busca sea subsanado a la brevedad, a fin de evitar inconformidades por parte del ciudadano. El resultado esperado es que las solicitudes de información sean atendidas en menos de 8 días hábiles.</w:t>
      </w:r>
    </w:p>
    <w:p w14:paraId="184DE472" w14:textId="77777777" w:rsidR="009C7A64" w:rsidRDefault="009C7A64" w:rsidP="00D06AC5">
      <w:pPr>
        <w:pStyle w:val="Prrafodelista"/>
        <w:jc w:val="both"/>
        <w:rPr>
          <w:rFonts w:ascii="Arial" w:hAnsi="Arial" w:cs="Arial"/>
        </w:rPr>
      </w:pPr>
    </w:p>
    <w:p w14:paraId="476E5C78" w14:textId="77777777" w:rsidR="00775F5F" w:rsidRDefault="00775F5F" w:rsidP="00D06AC5">
      <w:pPr>
        <w:pStyle w:val="Prrafodelista"/>
        <w:jc w:val="both"/>
        <w:rPr>
          <w:rFonts w:ascii="Arial" w:hAnsi="Arial" w:cs="Arial"/>
        </w:rPr>
      </w:pPr>
    </w:p>
    <w:p w14:paraId="56CC830B" w14:textId="77777777" w:rsidR="009C7A64" w:rsidRDefault="009C7A64" w:rsidP="00D06AC5">
      <w:pPr>
        <w:pStyle w:val="Prrafodelista"/>
        <w:jc w:val="both"/>
        <w:rPr>
          <w:rFonts w:ascii="Arial" w:hAnsi="Arial" w:cs="Arial"/>
        </w:rPr>
      </w:pPr>
    </w:p>
    <w:p w14:paraId="7ECC3301" w14:textId="77777777" w:rsidR="009C7A64" w:rsidRDefault="009C7A64" w:rsidP="00D06AC5">
      <w:pPr>
        <w:pStyle w:val="Prrafodelista"/>
        <w:jc w:val="both"/>
        <w:rPr>
          <w:rFonts w:ascii="Arial" w:hAnsi="Arial" w:cs="Arial"/>
        </w:rPr>
      </w:pPr>
    </w:p>
    <w:p w14:paraId="7ACDB0C9" w14:textId="77777777" w:rsidR="009C7A64" w:rsidRDefault="009C7A64" w:rsidP="00D06AC5">
      <w:pPr>
        <w:pStyle w:val="Prrafodelista"/>
        <w:jc w:val="both"/>
        <w:rPr>
          <w:rFonts w:ascii="Arial" w:hAnsi="Arial" w:cs="Arial"/>
        </w:rPr>
      </w:pPr>
    </w:p>
    <w:p w14:paraId="4003FFF0" w14:textId="77777777" w:rsidR="009C7A64" w:rsidRDefault="009C7A64" w:rsidP="00D06AC5">
      <w:pPr>
        <w:pStyle w:val="Prrafodelista"/>
        <w:jc w:val="both"/>
        <w:rPr>
          <w:rFonts w:ascii="Arial" w:hAnsi="Arial" w:cs="Arial"/>
        </w:rPr>
      </w:pPr>
    </w:p>
    <w:p w14:paraId="747E69D5" w14:textId="77777777" w:rsidR="009C7A64" w:rsidRDefault="009C7A64" w:rsidP="00D06AC5">
      <w:pPr>
        <w:pStyle w:val="Prrafodelista"/>
        <w:jc w:val="both"/>
        <w:rPr>
          <w:rFonts w:ascii="Arial" w:hAnsi="Arial" w:cs="Arial"/>
        </w:rPr>
      </w:pPr>
    </w:p>
    <w:p w14:paraId="30AF13CE" w14:textId="77777777" w:rsidR="009C7A64" w:rsidRDefault="009C7A64" w:rsidP="00D06AC5">
      <w:pPr>
        <w:pStyle w:val="Prrafodelista"/>
        <w:jc w:val="both"/>
        <w:rPr>
          <w:rFonts w:ascii="Arial" w:hAnsi="Arial" w:cs="Arial"/>
        </w:rPr>
      </w:pPr>
    </w:p>
    <w:p w14:paraId="47979064" w14:textId="77777777" w:rsidR="009C7A64" w:rsidRDefault="009C7A64" w:rsidP="00D06AC5">
      <w:pPr>
        <w:pStyle w:val="Prrafodelista"/>
        <w:jc w:val="both"/>
        <w:rPr>
          <w:rFonts w:ascii="Arial" w:hAnsi="Arial" w:cs="Arial"/>
        </w:rPr>
      </w:pPr>
    </w:p>
    <w:p w14:paraId="1C8B1BE8" w14:textId="77777777" w:rsidR="009C7A64" w:rsidRDefault="009C7A64" w:rsidP="00D06AC5">
      <w:pPr>
        <w:pStyle w:val="Prrafodelista"/>
        <w:jc w:val="both"/>
        <w:rPr>
          <w:rFonts w:ascii="Arial" w:hAnsi="Arial" w:cs="Arial"/>
        </w:rPr>
      </w:pPr>
    </w:p>
    <w:p w14:paraId="1FBA4303" w14:textId="77777777" w:rsidR="009C7A64" w:rsidRDefault="009C7A64" w:rsidP="00D06AC5">
      <w:pPr>
        <w:pStyle w:val="Prrafodelista"/>
        <w:jc w:val="both"/>
        <w:rPr>
          <w:rFonts w:ascii="Arial" w:hAnsi="Arial" w:cs="Arial"/>
        </w:rPr>
      </w:pPr>
    </w:p>
    <w:p w14:paraId="6FDE3F7B" w14:textId="77777777" w:rsidR="00775F5F" w:rsidRDefault="00775F5F" w:rsidP="00D06AC5">
      <w:pPr>
        <w:pStyle w:val="Prrafodelista"/>
        <w:jc w:val="both"/>
        <w:rPr>
          <w:rFonts w:ascii="Arial" w:hAnsi="Arial" w:cs="Arial"/>
        </w:rPr>
      </w:pPr>
    </w:p>
    <w:p w14:paraId="60E8E898" w14:textId="66E0EA05" w:rsidR="00DC05EE" w:rsidRPr="00CA2F8A" w:rsidRDefault="00DC05EE" w:rsidP="00D06AC5">
      <w:pPr>
        <w:pStyle w:val="Prrafodelista"/>
        <w:jc w:val="both"/>
        <w:rPr>
          <w:rFonts w:ascii="Arial" w:hAnsi="Arial" w:cs="Arial"/>
        </w:rPr>
      </w:pPr>
      <w:r w:rsidRPr="00BD090B">
        <w:rPr>
          <w:rFonts w:ascii="Arial" w:hAnsi="Arial" w:cs="Arial"/>
          <w:b/>
        </w:rPr>
        <w:lastRenderedPageBreak/>
        <w:t>Anexo 5:</w:t>
      </w:r>
      <w:r>
        <w:rPr>
          <w:rFonts w:ascii="Arial" w:hAnsi="Arial" w:cs="Arial"/>
        </w:rPr>
        <w:t xml:space="preserve"> Formato de hoja de ruta para acceso a la información</w:t>
      </w:r>
    </w:p>
    <w:tbl>
      <w:tblPr>
        <w:tblStyle w:val="Tablaconcuadrcula"/>
        <w:tblW w:w="0" w:type="auto"/>
        <w:tblLook w:val="04A0" w:firstRow="1" w:lastRow="0" w:firstColumn="1" w:lastColumn="0" w:noHBand="0" w:noVBand="1"/>
      </w:tblPr>
      <w:tblGrid>
        <w:gridCol w:w="8828"/>
      </w:tblGrid>
      <w:tr w:rsidR="001E08EE" w:rsidRPr="00CA2F8A" w14:paraId="2EDBF848" w14:textId="77777777" w:rsidTr="001E08EE">
        <w:trPr>
          <w:trHeight w:val="422"/>
        </w:trPr>
        <w:tc>
          <w:tcPr>
            <w:tcW w:w="8828" w:type="dxa"/>
            <w:vAlign w:val="center"/>
          </w:tcPr>
          <w:p w14:paraId="639038B2" w14:textId="77777777" w:rsidR="001E08EE" w:rsidRPr="00CA2F8A" w:rsidRDefault="001E08EE" w:rsidP="001E08EE">
            <w:pPr>
              <w:jc w:val="center"/>
              <w:rPr>
                <w:rFonts w:ascii="Arial" w:hAnsi="Arial" w:cs="Arial"/>
                <w:b/>
              </w:rPr>
            </w:pPr>
            <w:r w:rsidRPr="00CA2F8A">
              <w:rPr>
                <w:rFonts w:ascii="Arial" w:hAnsi="Arial" w:cs="Arial"/>
                <w:b/>
              </w:rPr>
              <w:t>Hoja de ruta: Acceso a la información</w:t>
            </w:r>
          </w:p>
        </w:tc>
      </w:tr>
      <w:tr w:rsidR="001E08EE" w:rsidRPr="00CA2F8A" w14:paraId="2998C78C" w14:textId="77777777" w:rsidTr="0003232B">
        <w:trPr>
          <w:trHeight w:val="893"/>
        </w:trPr>
        <w:tc>
          <w:tcPr>
            <w:tcW w:w="8828" w:type="dxa"/>
            <w:vAlign w:val="center"/>
          </w:tcPr>
          <w:p w14:paraId="47D0A00C" w14:textId="77777777" w:rsidR="001E08EE" w:rsidRPr="00CA2F8A" w:rsidRDefault="001E08EE" w:rsidP="002545E0">
            <w:pPr>
              <w:pStyle w:val="Prrafodelista"/>
              <w:ind w:left="0"/>
              <w:jc w:val="both"/>
              <w:rPr>
                <w:rFonts w:ascii="Arial" w:hAnsi="Arial" w:cs="Arial"/>
              </w:rPr>
            </w:pPr>
            <w:r w:rsidRPr="00CA2F8A">
              <w:rPr>
                <w:rFonts w:ascii="Arial" w:hAnsi="Arial" w:cs="Arial"/>
                <w:b/>
              </w:rPr>
              <w:t>Meta/Objetivo:</w:t>
            </w:r>
            <w:r w:rsidR="00C12B58" w:rsidRPr="00CA2F8A">
              <w:rPr>
                <w:rFonts w:ascii="Arial" w:hAnsi="Arial" w:cs="Arial"/>
              </w:rPr>
              <w:t xml:space="preserve"> </w:t>
            </w:r>
            <w:r w:rsidR="0003232B">
              <w:rPr>
                <w:rFonts w:ascii="Arial" w:hAnsi="Arial" w:cs="Arial"/>
              </w:rPr>
              <w:t>Reducir el tiempo de entrega de la información de las solicitudes de acceso a la información por parte de las unidades administrativas hacia la unidad de Transparencia.</w:t>
            </w:r>
          </w:p>
        </w:tc>
      </w:tr>
    </w:tbl>
    <w:p w14:paraId="652C21DF" w14:textId="77777777" w:rsidR="001E08EE" w:rsidRPr="00CA2F8A" w:rsidRDefault="001E08EE" w:rsidP="00536B04">
      <w:pPr>
        <w:spacing w:after="0"/>
        <w:rPr>
          <w:rFonts w:ascii="Arial" w:hAnsi="Arial" w:cs="Arial"/>
          <w:b/>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1E08EE" w:rsidRPr="00CA2F8A" w14:paraId="7C67963E" w14:textId="77777777" w:rsidTr="001E08EE">
        <w:trPr>
          <w:trHeight w:val="518"/>
        </w:trPr>
        <w:tc>
          <w:tcPr>
            <w:tcW w:w="8828" w:type="dxa"/>
            <w:gridSpan w:val="5"/>
            <w:vAlign w:val="center"/>
          </w:tcPr>
          <w:p w14:paraId="691C43F2" w14:textId="273A1100" w:rsidR="001E08EE" w:rsidRPr="00CA2F8A" w:rsidRDefault="001E08EE" w:rsidP="009A5D74">
            <w:pPr>
              <w:rPr>
                <w:rFonts w:ascii="Arial" w:hAnsi="Arial" w:cs="Arial"/>
                <w:b/>
              </w:rPr>
            </w:pPr>
            <w:r w:rsidRPr="00CA2F8A">
              <w:rPr>
                <w:rFonts w:ascii="Arial" w:hAnsi="Arial" w:cs="Arial"/>
                <w:b/>
              </w:rPr>
              <w:t>Reporte de avances</w:t>
            </w:r>
            <w:r w:rsidR="009A5D74">
              <w:rPr>
                <w:rFonts w:ascii="Arial" w:hAnsi="Arial" w:cs="Arial"/>
                <w:b/>
              </w:rPr>
              <w:t>:</w:t>
            </w:r>
            <w:r w:rsidRPr="00CA2F8A">
              <w:rPr>
                <w:rFonts w:ascii="Arial" w:hAnsi="Arial" w:cs="Arial"/>
                <w:b/>
              </w:rPr>
              <w:t xml:space="preserve"> </w:t>
            </w:r>
            <w:r w:rsidR="009A5D74">
              <w:rPr>
                <w:rFonts w:ascii="Arial" w:hAnsi="Arial" w:cs="Arial"/>
                <w:b/>
              </w:rPr>
              <w:t xml:space="preserve">Primera quince del mes de </w:t>
            </w:r>
            <w:r w:rsidRPr="00CA2F8A">
              <w:rPr>
                <w:rFonts w:ascii="Arial" w:hAnsi="Arial" w:cs="Arial"/>
                <w:b/>
              </w:rPr>
              <w:t xml:space="preserve">octubre y </w:t>
            </w:r>
            <w:r w:rsidR="009A5D74">
              <w:rPr>
                <w:rFonts w:ascii="Arial" w:hAnsi="Arial" w:cs="Arial"/>
                <w:b/>
              </w:rPr>
              <w:t xml:space="preserve"> Segunda quince del mes de noviembre</w:t>
            </w:r>
          </w:p>
        </w:tc>
      </w:tr>
      <w:tr w:rsidR="001E08EE" w:rsidRPr="00CA2F8A" w14:paraId="52339A9C" w14:textId="77777777" w:rsidTr="001E08EE">
        <w:trPr>
          <w:trHeight w:val="425"/>
        </w:trPr>
        <w:tc>
          <w:tcPr>
            <w:tcW w:w="8828" w:type="dxa"/>
            <w:gridSpan w:val="5"/>
            <w:vAlign w:val="center"/>
          </w:tcPr>
          <w:p w14:paraId="2CFBC7FA" w14:textId="77777777" w:rsidR="001E08EE" w:rsidRPr="00CA2F8A" w:rsidRDefault="001E08EE" w:rsidP="001E08EE">
            <w:pPr>
              <w:rPr>
                <w:rFonts w:ascii="Arial" w:hAnsi="Arial" w:cs="Arial"/>
                <w:b/>
                <w:i/>
              </w:rPr>
            </w:pPr>
            <w:r w:rsidRPr="00CA2F8A">
              <w:rPr>
                <w:rFonts w:ascii="Arial" w:hAnsi="Arial" w:cs="Arial"/>
                <w:b/>
                <w:i/>
              </w:rPr>
              <w:t>¿Cuáles son las actividades que son necesarias para lograr la meta planteada?</w:t>
            </w:r>
          </w:p>
        </w:tc>
      </w:tr>
      <w:tr w:rsidR="001E08EE" w:rsidRPr="00CA2F8A" w14:paraId="71010996" w14:textId="77777777" w:rsidTr="001E08EE">
        <w:tc>
          <w:tcPr>
            <w:tcW w:w="1765" w:type="dxa"/>
            <w:vAlign w:val="center"/>
          </w:tcPr>
          <w:p w14:paraId="20BF35E1" w14:textId="77777777" w:rsidR="001E08EE" w:rsidRPr="00CA2F8A" w:rsidRDefault="001E08EE" w:rsidP="001E08EE">
            <w:pPr>
              <w:jc w:val="center"/>
              <w:rPr>
                <w:rFonts w:ascii="Arial" w:hAnsi="Arial" w:cs="Arial"/>
                <w:b/>
              </w:rPr>
            </w:pPr>
            <w:r w:rsidRPr="00CA2F8A">
              <w:rPr>
                <w:rFonts w:ascii="Arial" w:hAnsi="Arial" w:cs="Arial"/>
                <w:b/>
              </w:rPr>
              <w:t>Actividad</w:t>
            </w:r>
          </w:p>
        </w:tc>
        <w:tc>
          <w:tcPr>
            <w:tcW w:w="1765" w:type="dxa"/>
            <w:vAlign w:val="center"/>
          </w:tcPr>
          <w:p w14:paraId="6282BF18" w14:textId="77777777" w:rsidR="001E08EE" w:rsidRPr="00CA2F8A" w:rsidRDefault="001E08EE" w:rsidP="001E08EE">
            <w:pPr>
              <w:jc w:val="center"/>
              <w:rPr>
                <w:rFonts w:ascii="Arial" w:hAnsi="Arial" w:cs="Arial"/>
                <w:b/>
              </w:rPr>
            </w:pPr>
            <w:r w:rsidRPr="00CA2F8A">
              <w:rPr>
                <w:rFonts w:ascii="Arial" w:hAnsi="Arial" w:cs="Arial"/>
                <w:b/>
              </w:rPr>
              <w:t>Fecha</w:t>
            </w:r>
          </w:p>
        </w:tc>
        <w:tc>
          <w:tcPr>
            <w:tcW w:w="1766" w:type="dxa"/>
            <w:vAlign w:val="center"/>
          </w:tcPr>
          <w:p w14:paraId="4CE9EB10" w14:textId="77777777" w:rsidR="001E08EE" w:rsidRPr="00CA2F8A" w:rsidRDefault="001E08EE" w:rsidP="001E08EE">
            <w:pPr>
              <w:jc w:val="center"/>
              <w:rPr>
                <w:rFonts w:ascii="Arial" w:hAnsi="Arial" w:cs="Arial"/>
                <w:b/>
              </w:rPr>
            </w:pPr>
            <w:r w:rsidRPr="00CA2F8A">
              <w:rPr>
                <w:rFonts w:ascii="Arial" w:hAnsi="Arial" w:cs="Arial"/>
                <w:b/>
              </w:rPr>
              <w:t>Justificación</w:t>
            </w:r>
          </w:p>
        </w:tc>
        <w:tc>
          <w:tcPr>
            <w:tcW w:w="1766" w:type="dxa"/>
            <w:vAlign w:val="center"/>
          </w:tcPr>
          <w:p w14:paraId="44EB9B81" w14:textId="77777777" w:rsidR="001E08EE" w:rsidRPr="00CA2F8A" w:rsidRDefault="001E08EE" w:rsidP="001E08EE">
            <w:pPr>
              <w:jc w:val="center"/>
              <w:rPr>
                <w:rFonts w:ascii="Arial" w:hAnsi="Arial" w:cs="Arial"/>
                <w:b/>
              </w:rPr>
            </w:pPr>
            <w:r w:rsidRPr="00CA2F8A">
              <w:rPr>
                <w:rFonts w:ascii="Arial" w:hAnsi="Arial" w:cs="Arial"/>
                <w:b/>
              </w:rPr>
              <w:t>Indicador de Gestión</w:t>
            </w:r>
          </w:p>
        </w:tc>
        <w:tc>
          <w:tcPr>
            <w:tcW w:w="1766" w:type="dxa"/>
            <w:vAlign w:val="center"/>
          </w:tcPr>
          <w:p w14:paraId="1DB983C6" w14:textId="77777777" w:rsidR="001E08EE" w:rsidRPr="00CA2F8A" w:rsidRDefault="001E08EE" w:rsidP="001E08EE">
            <w:pPr>
              <w:jc w:val="center"/>
              <w:rPr>
                <w:rFonts w:ascii="Arial" w:hAnsi="Arial" w:cs="Arial"/>
                <w:b/>
              </w:rPr>
            </w:pPr>
            <w:r w:rsidRPr="00CA2F8A">
              <w:rPr>
                <w:rFonts w:ascii="Arial" w:hAnsi="Arial" w:cs="Arial"/>
                <w:b/>
              </w:rPr>
              <w:t>Medio de verificación</w:t>
            </w:r>
          </w:p>
        </w:tc>
      </w:tr>
      <w:tr w:rsidR="001E08EE" w:rsidRPr="00CA2F8A" w14:paraId="5FB64276" w14:textId="77777777" w:rsidTr="00C12B58">
        <w:trPr>
          <w:trHeight w:val="579"/>
        </w:trPr>
        <w:tc>
          <w:tcPr>
            <w:tcW w:w="1765" w:type="dxa"/>
          </w:tcPr>
          <w:p w14:paraId="4FD9A458" w14:textId="5EE45B9A" w:rsidR="001E08EE" w:rsidRPr="00CA2F8A" w:rsidRDefault="009A5D74" w:rsidP="009A5D74">
            <w:pPr>
              <w:rPr>
                <w:rFonts w:ascii="Arial" w:hAnsi="Arial" w:cs="Arial"/>
              </w:rPr>
            </w:pPr>
            <w:r>
              <w:rPr>
                <w:rFonts w:ascii="Arial" w:hAnsi="Arial" w:cs="Arial"/>
              </w:rPr>
              <w:t>La atención de las solicitudes de información atendidas por las Unidades Administrativas del Cinvestav, sean respondidas en el menor tiempo posibles</w:t>
            </w:r>
          </w:p>
        </w:tc>
        <w:tc>
          <w:tcPr>
            <w:tcW w:w="1765" w:type="dxa"/>
          </w:tcPr>
          <w:p w14:paraId="68BBCD7B" w14:textId="77777777" w:rsidR="001E08EE" w:rsidRDefault="009A5D74" w:rsidP="001E08EE">
            <w:pPr>
              <w:rPr>
                <w:rFonts w:ascii="Arial" w:hAnsi="Arial" w:cs="Arial"/>
              </w:rPr>
            </w:pPr>
            <w:r>
              <w:rPr>
                <w:rFonts w:ascii="Arial" w:hAnsi="Arial" w:cs="Arial"/>
              </w:rPr>
              <w:t>15 de octubre de 2017</w:t>
            </w:r>
          </w:p>
          <w:p w14:paraId="6B82B0B0" w14:textId="06C6274A" w:rsidR="009A5D74" w:rsidRPr="00CA2F8A" w:rsidRDefault="0050299B" w:rsidP="001E08EE">
            <w:pPr>
              <w:rPr>
                <w:rFonts w:ascii="Arial" w:hAnsi="Arial" w:cs="Arial"/>
              </w:rPr>
            </w:pPr>
            <w:r>
              <w:rPr>
                <w:rFonts w:ascii="Arial" w:hAnsi="Arial" w:cs="Arial"/>
              </w:rPr>
              <w:t>y</w:t>
            </w:r>
            <w:r w:rsidR="009A5D74">
              <w:rPr>
                <w:rFonts w:ascii="Arial" w:hAnsi="Arial" w:cs="Arial"/>
              </w:rPr>
              <w:t xml:space="preserve"> 30 de noviembre de 2017</w:t>
            </w:r>
          </w:p>
        </w:tc>
        <w:tc>
          <w:tcPr>
            <w:tcW w:w="1766" w:type="dxa"/>
          </w:tcPr>
          <w:p w14:paraId="0FC13F49" w14:textId="5A26B3C4" w:rsidR="001E08EE" w:rsidRPr="00CA2F8A" w:rsidRDefault="0050299B" w:rsidP="0050299B">
            <w:pPr>
              <w:rPr>
                <w:rFonts w:ascii="Arial" w:hAnsi="Arial" w:cs="Arial"/>
              </w:rPr>
            </w:pPr>
            <w:r>
              <w:rPr>
                <w:rFonts w:ascii="Arial" w:hAnsi="Arial" w:cs="Arial"/>
              </w:rPr>
              <w:t>La finalidad de este objetivo es garantizar a la ciudadanía  que reciba respuestas a las solicitudes de información en el menor tiempo posible.</w:t>
            </w:r>
          </w:p>
        </w:tc>
        <w:tc>
          <w:tcPr>
            <w:tcW w:w="1766" w:type="dxa"/>
          </w:tcPr>
          <w:p w14:paraId="03A58401" w14:textId="303DB53A" w:rsidR="001E08EE" w:rsidRPr="00CA2F8A" w:rsidRDefault="009A5D74" w:rsidP="001E08EE">
            <w:pPr>
              <w:rPr>
                <w:rFonts w:ascii="Arial" w:hAnsi="Arial" w:cs="Arial"/>
              </w:rPr>
            </w:pPr>
            <w:r>
              <w:rPr>
                <w:rFonts w:ascii="Arial" w:hAnsi="Arial" w:cs="Arial"/>
              </w:rPr>
              <w:t>Número de solicitudes atendidas</w:t>
            </w:r>
            <w:r w:rsidR="002B6D9C">
              <w:rPr>
                <w:rFonts w:ascii="Arial" w:hAnsi="Arial" w:cs="Arial"/>
              </w:rPr>
              <w:t xml:space="preserve"> por las Unidades Administrativas del Cinvestav.</w:t>
            </w:r>
          </w:p>
        </w:tc>
        <w:tc>
          <w:tcPr>
            <w:tcW w:w="1766" w:type="dxa"/>
          </w:tcPr>
          <w:p w14:paraId="7FC5BB7A" w14:textId="43701E3E" w:rsidR="001E08EE" w:rsidRPr="00CA2F8A" w:rsidRDefault="009A5D74" w:rsidP="001E08EE">
            <w:pPr>
              <w:rPr>
                <w:rFonts w:ascii="Arial" w:hAnsi="Arial" w:cs="Arial"/>
              </w:rPr>
            </w:pPr>
            <w:r>
              <w:rPr>
                <w:rFonts w:ascii="Arial" w:hAnsi="Arial" w:cs="Arial"/>
              </w:rPr>
              <w:t>Fechas de entrega de las respuestas a las solicitudes de información</w:t>
            </w:r>
          </w:p>
        </w:tc>
      </w:tr>
      <w:tr w:rsidR="001E08EE" w:rsidRPr="00CA2F8A" w14:paraId="1ADE778D" w14:textId="77777777" w:rsidTr="00C12B58">
        <w:trPr>
          <w:trHeight w:val="560"/>
        </w:trPr>
        <w:tc>
          <w:tcPr>
            <w:tcW w:w="1765" w:type="dxa"/>
          </w:tcPr>
          <w:p w14:paraId="6E208E8B" w14:textId="07C6C93E" w:rsidR="001E08EE" w:rsidRPr="00CA2F8A" w:rsidRDefault="001E08EE" w:rsidP="001E08EE">
            <w:pPr>
              <w:rPr>
                <w:rFonts w:ascii="Arial" w:hAnsi="Arial" w:cs="Arial"/>
              </w:rPr>
            </w:pPr>
          </w:p>
        </w:tc>
        <w:tc>
          <w:tcPr>
            <w:tcW w:w="1765" w:type="dxa"/>
          </w:tcPr>
          <w:p w14:paraId="720956FD" w14:textId="77777777" w:rsidR="001E08EE" w:rsidRPr="00CA2F8A" w:rsidRDefault="001E08EE" w:rsidP="001E08EE">
            <w:pPr>
              <w:rPr>
                <w:rFonts w:ascii="Arial" w:hAnsi="Arial" w:cs="Arial"/>
              </w:rPr>
            </w:pPr>
          </w:p>
        </w:tc>
        <w:tc>
          <w:tcPr>
            <w:tcW w:w="1766" w:type="dxa"/>
          </w:tcPr>
          <w:p w14:paraId="6B5B28B6" w14:textId="77777777" w:rsidR="001E08EE" w:rsidRPr="00CA2F8A" w:rsidRDefault="001E08EE" w:rsidP="001E08EE">
            <w:pPr>
              <w:rPr>
                <w:rFonts w:ascii="Arial" w:hAnsi="Arial" w:cs="Arial"/>
              </w:rPr>
            </w:pPr>
          </w:p>
        </w:tc>
        <w:tc>
          <w:tcPr>
            <w:tcW w:w="1766" w:type="dxa"/>
          </w:tcPr>
          <w:p w14:paraId="2335B140" w14:textId="77777777" w:rsidR="001E08EE" w:rsidRPr="00CA2F8A" w:rsidRDefault="001E08EE" w:rsidP="001E08EE">
            <w:pPr>
              <w:rPr>
                <w:rFonts w:ascii="Arial" w:hAnsi="Arial" w:cs="Arial"/>
              </w:rPr>
            </w:pPr>
          </w:p>
        </w:tc>
        <w:tc>
          <w:tcPr>
            <w:tcW w:w="1766" w:type="dxa"/>
          </w:tcPr>
          <w:p w14:paraId="5DDDA3B6" w14:textId="77777777" w:rsidR="001E08EE" w:rsidRPr="00CA2F8A" w:rsidRDefault="001E08EE" w:rsidP="001E08EE">
            <w:pPr>
              <w:rPr>
                <w:rFonts w:ascii="Arial" w:hAnsi="Arial" w:cs="Arial"/>
              </w:rPr>
            </w:pPr>
          </w:p>
        </w:tc>
      </w:tr>
      <w:tr w:rsidR="001E08EE" w:rsidRPr="00CA2F8A" w14:paraId="7FBC195B" w14:textId="77777777" w:rsidTr="00C12B58">
        <w:trPr>
          <w:trHeight w:val="554"/>
        </w:trPr>
        <w:tc>
          <w:tcPr>
            <w:tcW w:w="1765" w:type="dxa"/>
          </w:tcPr>
          <w:p w14:paraId="639D2E6B" w14:textId="77777777" w:rsidR="001E08EE" w:rsidRPr="00CA2F8A" w:rsidRDefault="001E08EE" w:rsidP="001E08EE">
            <w:pPr>
              <w:rPr>
                <w:rFonts w:ascii="Arial" w:hAnsi="Arial" w:cs="Arial"/>
              </w:rPr>
            </w:pPr>
          </w:p>
        </w:tc>
        <w:tc>
          <w:tcPr>
            <w:tcW w:w="1765" w:type="dxa"/>
          </w:tcPr>
          <w:p w14:paraId="200AA2AE" w14:textId="77777777" w:rsidR="001E08EE" w:rsidRPr="00CA2F8A" w:rsidRDefault="001E08EE" w:rsidP="001E08EE">
            <w:pPr>
              <w:rPr>
                <w:rFonts w:ascii="Arial" w:hAnsi="Arial" w:cs="Arial"/>
              </w:rPr>
            </w:pPr>
          </w:p>
        </w:tc>
        <w:tc>
          <w:tcPr>
            <w:tcW w:w="1766" w:type="dxa"/>
          </w:tcPr>
          <w:p w14:paraId="530F9E96" w14:textId="77777777" w:rsidR="001E08EE" w:rsidRPr="00CA2F8A" w:rsidRDefault="001E08EE" w:rsidP="001E08EE">
            <w:pPr>
              <w:rPr>
                <w:rFonts w:ascii="Arial" w:hAnsi="Arial" w:cs="Arial"/>
              </w:rPr>
            </w:pPr>
          </w:p>
        </w:tc>
        <w:tc>
          <w:tcPr>
            <w:tcW w:w="1766" w:type="dxa"/>
          </w:tcPr>
          <w:p w14:paraId="1943D53C" w14:textId="77777777" w:rsidR="001E08EE" w:rsidRPr="00CA2F8A" w:rsidRDefault="001E08EE" w:rsidP="001E08EE">
            <w:pPr>
              <w:rPr>
                <w:rFonts w:ascii="Arial" w:hAnsi="Arial" w:cs="Arial"/>
              </w:rPr>
            </w:pPr>
          </w:p>
        </w:tc>
        <w:tc>
          <w:tcPr>
            <w:tcW w:w="1766" w:type="dxa"/>
          </w:tcPr>
          <w:p w14:paraId="5A58121F" w14:textId="77777777" w:rsidR="001E08EE" w:rsidRPr="00CA2F8A" w:rsidRDefault="001E08EE" w:rsidP="001E08EE">
            <w:pPr>
              <w:rPr>
                <w:rFonts w:ascii="Arial" w:hAnsi="Arial" w:cs="Arial"/>
              </w:rPr>
            </w:pPr>
          </w:p>
        </w:tc>
      </w:tr>
      <w:tr w:rsidR="001E08EE" w:rsidRPr="00CA2F8A" w14:paraId="3D9B14E0" w14:textId="77777777" w:rsidTr="00C12B58">
        <w:trPr>
          <w:trHeight w:val="547"/>
        </w:trPr>
        <w:tc>
          <w:tcPr>
            <w:tcW w:w="1765" w:type="dxa"/>
          </w:tcPr>
          <w:p w14:paraId="6E25C00D" w14:textId="77777777" w:rsidR="001E08EE" w:rsidRPr="00CA2F8A" w:rsidRDefault="001E08EE" w:rsidP="001E08EE">
            <w:pPr>
              <w:rPr>
                <w:rFonts w:ascii="Arial" w:hAnsi="Arial" w:cs="Arial"/>
              </w:rPr>
            </w:pPr>
          </w:p>
        </w:tc>
        <w:tc>
          <w:tcPr>
            <w:tcW w:w="1765" w:type="dxa"/>
          </w:tcPr>
          <w:p w14:paraId="3945A6A3" w14:textId="77777777" w:rsidR="001E08EE" w:rsidRPr="00CA2F8A" w:rsidRDefault="001E08EE" w:rsidP="001E08EE">
            <w:pPr>
              <w:rPr>
                <w:rFonts w:ascii="Arial" w:hAnsi="Arial" w:cs="Arial"/>
              </w:rPr>
            </w:pPr>
          </w:p>
        </w:tc>
        <w:tc>
          <w:tcPr>
            <w:tcW w:w="1766" w:type="dxa"/>
          </w:tcPr>
          <w:p w14:paraId="4016950E" w14:textId="77777777" w:rsidR="001E08EE" w:rsidRPr="00CA2F8A" w:rsidRDefault="001E08EE" w:rsidP="001E08EE">
            <w:pPr>
              <w:rPr>
                <w:rFonts w:ascii="Arial" w:hAnsi="Arial" w:cs="Arial"/>
              </w:rPr>
            </w:pPr>
          </w:p>
        </w:tc>
        <w:tc>
          <w:tcPr>
            <w:tcW w:w="1766" w:type="dxa"/>
          </w:tcPr>
          <w:p w14:paraId="3D610BC2" w14:textId="77777777" w:rsidR="001E08EE" w:rsidRPr="00CA2F8A" w:rsidRDefault="001E08EE" w:rsidP="001E08EE">
            <w:pPr>
              <w:rPr>
                <w:rFonts w:ascii="Arial" w:hAnsi="Arial" w:cs="Arial"/>
              </w:rPr>
            </w:pPr>
          </w:p>
        </w:tc>
        <w:tc>
          <w:tcPr>
            <w:tcW w:w="1766" w:type="dxa"/>
          </w:tcPr>
          <w:p w14:paraId="4F0CEADE" w14:textId="77777777" w:rsidR="001E08EE" w:rsidRPr="00CA2F8A" w:rsidRDefault="001E08EE" w:rsidP="001E08EE">
            <w:pPr>
              <w:rPr>
                <w:rFonts w:ascii="Arial" w:hAnsi="Arial" w:cs="Arial"/>
              </w:rPr>
            </w:pPr>
          </w:p>
        </w:tc>
      </w:tr>
    </w:tbl>
    <w:p w14:paraId="017CA122" w14:textId="77777777" w:rsidR="001E08EE" w:rsidRDefault="001E08EE" w:rsidP="001E08EE">
      <w:pPr>
        <w:rPr>
          <w:rFonts w:ascii="Arial" w:hAnsi="Arial" w:cs="Arial"/>
          <w:b/>
        </w:rPr>
      </w:pPr>
    </w:p>
    <w:p w14:paraId="253E3AF8" w14:textId="77777777" w:rsidR="00BC43EA" w:rsidRDefault="00BC43EA" w:rsidP="001E08EE">
      <w:pPr>
        <w:rPr>
          <w:rFonts w:ascii="Arial" w:hAnsi="Arial" w:cs="Arial"/>
          <w:b/>
        </w:rPr>
      </w:pPr>
    </w:p>
    <w:p w14:paraId="3EA8DD49" w14:textId="77777777" w:rsidR="001617B5" w:rsidRDefault="001617B5" w:rsidP="001E08EE">
      <w:pPr>
        <w:rPr>
          <w:rFonts w:ascii="Arial" w:hAnsi="Arial" w:cs="Arial"/>
          <w:b/>
        </w:rPr>
      </w:pPr>
    </w:p>
    <w:p w14:paraId="6F3E0977" w14:textId="77777777" w:rsidR="001617B5" w:rsidRDefault="001617B5" w:rsidP="001E08EE">
      <w:pPr>
        <w:rPr>
          <w:rFonts w:ascii="Arial" w:hAnsi="Arial" w:cs="Arial"/>
          <w:b/>
        </w:rPr>
      </w:pPr>
    </w:p>
    <w:p w14:paraId="39FE132A" w14:textId="77777777" w:rsidR="001617B5" w:rsidRDefault="001617B5" w:rsidP="001E08EE">
      <w:pPr>
        <w:rPr>
          <w:rFonts w:ascii="Arial" w:hAnsi="Arial" w:cs="Arial"/>
          <w:b/>
        </w:rPr>
      </w:pPr>
    </w:p>
    <w:p w14:paraId="633212B0" w14:textId="77777777" w:rsidR="001617B5" w:rsidRDefault="001617B5" w:rsidP="001E08EE">
      <w:pPr>
        <w:rPr>
          <w:rFonts w:ascii="Arial" w:hAnsi="Arial" w:cs="Arial"/>
          <w:b/>
        </w:rPr>
      </w:pPr>
    </w:p>
    <w:p w14:paraId="1303E160" w14:textId="77777777" w:rsidR="001617B5" w:rsidRDefault="001617B5" w:rsidP="001E08EE">
      <w:pPr>
        <w:rPr>
          <w:rFonts w:ascii="Arial" w:hAnsi="Arial" w:cs="Arial"/>
          <w:b/>
        </w:rPr>
      </w:pPr>
    </w:p>
    <w:p w14:paraId="16E9E7E2" w14:textId="77777777" w:rsidR="001617B5" w:rsidRDefault="001617B5" w:rsidP="001E08EE">
      <w:pPr>
        <w:rPr>
          <w:rFonts w:ascii="Arial" w:hAnsi="Arial" w:cs="Arial"/>
          <w:b/>
        </w:rPr>
      </w:pPr>
    </w:p>
    <w:p w14:paraId="267191EF" w14:textId="77777777" w:rsidR="001617B5" w:rsidRDefault="001617B5" w:rsidP="001E08EE">
      <w:pPr>
        <w:rPr>
          <w:rFonts w:ascii="Arial" w:hAnsi="Arial" w:cs="Arial"/>
          <w:b/>
        </w:rPr>
      </w:pPr>
    </w:p>
    <w:p w14:paraId="6DF84694" w14:textId="77777777" w:rsidR="001617B5" w:rsidRDefault="001617B5" w:rsidP="001E08EE">
      <w:pPr>
        <w:rPr>
          <w:rFonts w:ascii="Arial" w:hAnsi="Arial" w:cs="Arial"/>
          <w:b/>
        </w:rPr>
      </w:pPr>
    </w:p>
    <w:p w14:paraId="68B883EA" w14:textId="77777777" w:rsidR="001617B5" w:rsidRDefault="001617B5" w:rsidP="001E08EE">
      <w:pPr>
        <w:rPr>
          <w:rFonts w:ascii="Arial" w:hAnsi="Arial" w:cs="Arial"/>
          <w:b/>
        </w:rPr>
      </w:pPr>
    </w:p>
    <w:p w14:paraId="2EB9F483" w14:textId="2EE606B4" w:rsidR="00917B54" w:rsidRDefault="00917B54" w:rsidP="004314D4">
      <w:pPr>
        <w:jc w:val="center"/>
        <w:rPr>
          <w:rFonts w:ascii="Arial" w:hAnsi="Arial" w:cs="Arial"/>
          <w:b/>
        </w:rPr>
      </w:pPr>
      <w:r>
        <w:rPr>
          <w:rFonts w:ascii="Arial" w:hAnsi="Arial" w:cs="Arial"/>
          <w:b/>
        </w:rPr>
        <w:lastRenderedPageBreak/>
        <w:t>Anexo 1</w:t>
      </w:r>
    </w:p>
    <w:p w14:paraId="6604A626" w14:textId="77777777" w:rsidR="00917B54" w:rsidRDefault="00917B54" w:rsidP="001E08EE">
      <w:pPr>
        <w:rPr>
          <w:rFonts w:ascii="Arial" w:hAnsi="Arial" w:cs="Arial"/>
          <w:b/>
        </w:rPr>
      </w:pPr>
    </w:p>
    <w:p w14:paraId="6FB68465" w14:textId="512DC5CA" w:rsidR="004314D4" w:rsidRDefault="00917B54" w:rsidP="001E08EE">
      <w:pPr>
        <w:rPr>
          <w:rFonts w:ascii="Arial" w:hAnsi="Arial" w:cs="Arial"/>
        </w:rPr>
      </w:pPr>
      <w:r>
        <w:rPr>
          <w:rFonts w:ascii="Arial" w:hAnsi="Arial" w:cs="Arial"/>
          <w:b/>
        </w:rPr>
        <w:t>Punto 1</w:t>
      </w:r>
      <w:r w:rsidR="00BD090B">
        <w:rPr>
          <w:rFonts w:ascii="Arial" w:hAnsi="Arial" w:cs="Arial"/>
          <w:b/>
        </w:rPr>
        <w:t xml:space="preserve">.- </w:t>
      </w:r>
      <w:r w:rsidR="004314D4" w:rsidRPr="004314D4">
        <w:rPr>
          <w:rFonts w:ascii="Arial" w:hAnsi="Arial" w:cs="Arial"/>
        </w:rPr>
        <w:t>El enlace de transparencia proactiva y datos abiertos, solicitaran el apoyo del Comité de Transparencia de la dependencia o entidad y de las Unidades Administrativas</w:t>
      </w:r>
      <w:r w:rsidR="004314D4">
        <w:rPr>
          <w:rFonts w:ascii="Arial" w:hAnsi="Arial" w:cs="Arial"/>
        </w:rPr>
        <w:t xml:space="preserve"> </w:t>
      </w:r>
      <w:r w:rsidR="00E43FED">
        <w:rPr>
          <w:rFonts w:ascii="Arial" w:hAnsi="Arial" w:cs="Arial"/>
        </w:rPr>
        <w:t>que resulten necesarias para realizar un diagnóstico de necesidades  y/o demandas de información, con base en:</w:t>
      </w:r>
    </w:p>
    <w:p w14:paraId="451AB9C3" w14:textId="77777777" w:rsidR="00D90C02" w:rsidRDefault="00D90C02" w:rsidP="001E08EE">
      <w:pPr>
        <w:rPr>
          <w:rFonts w:ascii="Arial" w:hAnsi="Arial" w:cs="Arial"/>
        </w:rPr>
      </w:pPr>
    </w:p>
    <w:p w14:paraId="73D159A9" w14:textId="022CCA77" w:rsidR="00E43FED" w:rsidRDefault="00E43FED" w:rsidP="001E08EE">
      <w:pPr>
        <w:rPr>
          <w:rFonts w:ascii="Arial" w:hAnsi="Arial" w:cs="Arial"/>
        </w:rPr>
      </w:pPr>
      <w:r>
        <w:rPr>
          <w:rFonts w:ascii="Arial" w:hAnsi="Arial" w:cs="Arial"/>
        </w:rPr>
        <w:t>a).- Información que se considere de interés público</w:t>
      </w:r>
    </w:p>
    <w:p w14:paraId="3C2D8BBB" w14:textId="5D479E42" w:rsidR="00A32F2E" w:rsidRDefault="007F7F61" w:rsidP="001E08EE">
      <w:pPr>
        <w:rPr>
          <w:rFonts w:ascii="Arial" w:hAnsi="Arial" w:cs="Arial"/>
        </w:rPr>
      </w:pPr>
      <w:r>
        <w:rPr>
          <w:rFonts w:ascii="Arial" w:hAnsi="Arial" w:cs="Arial"/>
        </w:rPr>
        <w:t xml:space="preserve">La información registrada en la página web, respecto a la oferta educativa con la que cuenta este Centro de Investigación se difunde en la siguiente liga: </w:t>
      </w:r>
      <w:hyperlink r:id="rId6" w:history="1">
        <w:r w:rsidRPr="008E2FF0">
          <w:rPr>
            <w:rStyle w:val="Hipervnculo"/>
            <w:rFonts w:ascii="Arial" w:hAnsi="Arial" w:cs="Arial"/>
          </w:rPr>
          <w:t>http://www.cinvestav.mx/es-mx/transparenciayrc/transparenciafocalizada.aspx</w:t>
        </w:r>
      </w:hyperlink>
      <w:r>
        <w:rPr>
          <w:rFonts w:ascii="Arial" w:hAnsi="Arial" w:cs="Arial"/>
        </w:rPr>
        <w:t xml:space="preserve"> </w:t>
      </w:r>
    </w:p>
    <w:p w14:paraId="665912A2" w14:textId="3D66C251" w:rsidR="00E43FED" w:rsidRDefault="00E43FED" w:rsidP="001E08EE">
      <w:pPr>
        <w:rPr>
          <w:rFonts w:ascii="Arial" w:hAnsi="Arial" w:cs="Arial"/>
        </w:rPr>
      </w:pPr>
      <w:r>
        <w:rPr>
          <w:rFonts w:ascii="Arial" w:hAnsi="Arial" w:cs="Arial"/>
        </w:rPr>
        <w:t xml:space="preserve">b).- Información publicada en cumplimiento a las obligaciones de transparencia </w:t>
      </w:r>
    </w:p>
    <w:p w14:paraId="1F8F32A7" w14:textId="4AA940C6" w:rsidR="007F7F61" w:rsidRDefault="00277049" w:rsidP="001E08EE">
      <w:pPr>
        <w:rPr>
          <w:rFonts w:ascii="Arial" w:hAnsi="Arial" w:cs="Arial"/>
        </w:rPr>
      </w:pPr>
      <w:hyperlink r:id="rId7" w:history="1">
        <w:r w:rsidR="007F7F61" w:rsidRPr="008E2FF0">
          <w:rPr>
            <w:rStyle w:val="Hipervnculo"/>
            <w:rFonts w:ascii="Arial" w:hAnsi="Arial" w:cs="Arial"/>
          </w:rPr>
          <w:t>http://www.cinvestav.mx/es-mx/transparenciayrc/transparenciafocalizada.aspx</w:t>
        </w:r>
      </w:hyperlink>
      <w:r w:rsidR="007F7F61">
        <w:rPr>
          <w:rFonts w:ascii="Arial" w:hAnsi="Arial" w:cs="Arial"/>
        </w:rPr>
        <w:t xml:space="preserve"> Se encuentra publicada aquella información que puede ser de gran utilidad para los ciudadanos que deseen llevar a cabo una maestría o doctorado en Cinvestav.</w:t>
      </w:r>
    </w:p>
    <w:p w14:paraId="48DB2BCA" w14:textId="1B2BB04A" w:rsidR="00E43FED" w:rsidRDefault="00E43FED" w:rsidP="001E08EE">
      <w:pPr>
        <w:rPr>
          <w:rFonts w:ascii="Arial" w:hAnsi="Arial" w:cs="Arial"/>
        </w:rPr>
      </w:pPr>
      <w:r>
        <w:rPr>
          <w:rFonts w:ascii="Arial" w:hAnsi="Arial" w:cs="Arial"/>
        </w:rPr>
        <w:t>c).- Estadísticas de interés general nacional</w:t>
      </w:r>
    </w:p>
    <w:p w14:paraId="1B8D857D" w14:textId="53ACD821" w:rsidR="00A32F2E" w:rsidRDefault="007F7F61" w:rsidP="001E08EE">
      <w:pPr>
        <w:rPr>
          <w:rFonts w:ascii="Arial" w:hAnsi="Arial" w:cs="Arial"/>
        </w:rPr>
      </w:pPr>
      <w:r>
        <w:rPr>
          <w:rFonts w:ascii="Arial" w:hAnsi="Arial" w:cs="Arial"/>
        </w:rPr>
        <w:t>No se tiene publicada ninguna estadística.</w:t>
      </w:r>
    </w:p>
    <w:p w14:paraId="7616BA6E" w14:textId="0BB664E6" w:rsidR="00E43FED" w:rsidRDefault="00E43FED" w:rsidP="001E08EE">
      <w:pPr>
        <w:rPr>
          <w:rFonts w:ascii="Arial" w:hAnsi="Arial" w:cs="Arial"/>
        </w:rPr>
      </w:pPr>
      <w:r>
        <w:rPr>
          <w:rFonts w:ascii="Arial" w:hAnsi="Arial" w:cs="Arial"/>
        </w:rPr>
        <w:t>d).- Respuestas emitidas a partir de solicitudes de información y consultas recurrentes</w:t>
      </w:r>
      <w:r w:rsidR="007F7F61">
        <w:rPr>
          <w:rFonts w:ascii="Arial" w:hAnsi="Arial" w:cs="Arial"/>
        </w:rPr>
        <w:t>.</w:t>
      </w:r>
    </w:p>
    <w:p w14:paraId="408F66F3" w14:textId="6B1A6EBA" w:rsidR="007F7F61" w:rsidRDefault="007F7F61" w:rsidP="001E08EE">
      <w:pPr>
        <w:rPr>
          <w:rFonts w:ascii="Arial" w:hAnsi="Arial" w:cs="Arial"/>
        </w:rPr>
      </w:pPr>
      <w:r>
        <w:rPr>
          <w:rFonts w:ascii="Arial" w:hAnsi="Arial" w:cs="Arial"/>
        </w:rPr>
        <w:t>Se da respuesta en tiempo y forma a cada una de las solicitudes de información que son recibidas a través del Sistema INFOMEX.</w:t>
      </w:r>
    </w:p>
    <w:p w14:paraId="1A2D3514" w14:textId="586D5A22" w:rsidR="00E43FED" w:rsidRDefault="00E43FED" w:rsidP="001E08EE">
      <w:pPr>
        <w:rPr>
          <w:rFonts w:ascii="Arial" w:hAnsi="Arial" w:cs="Arial"/>
        </w:rPr>
      </w:pPr>
      <w:r>
        <w:rPr>
          <w:rFonts w:ascii="Arial" w:hAnsi="Arial" w:cs="Arial"/>
        </w:rPr>
        <w:t xml:space="preserve">e).- Demandas específicas de la sociedad civil, previamente </w:t>
      </w:r>
      <w:r w:rsidR="00BD090B">
        <w:rPr>
          <w:rFonts w:ascii="Arial" w:hAnsi="Arial" w:cs="Arial"/>
        </w:rPr>
        <w:t>identificadas que no hayan sido satisfechas</w:t>
      </w:r>
    </w:p>
    <w:p w14:paraId="78FFB057" w14:textId="32DA35B7" w:rsidR="00A32F2E" w:rsidRDefault="00C3055F" w:rsidP="001E08EE">
      <w:pPr>
        <w:rPr>
          <w:rFonts w:ascii="Arial" w:hAnsi="Arial" w:cs="Arial"/>
        </w:rPr>
      </w:pPr>
      <w:r>
        <w:rPr>
          <w:rFonts w:ascii="Arial" w:hAnsi="Arial" w:cs="Arial"/>
        </w:rPr>
        <w:t>No se tienen identificadas de manera específica aquellas solicitudes recurrentes que sean demandadas por la sociedad civil.</w:t>
      </w:r>
    </w:p>
    <w:p w14:paraId="11A43472" w14:textId="2B7B8983" w:rsidR="00BD090B" w:rsidRDefault="00BD090B" w:rsidP="001E08EE">
      <w:pPr>
        <w:rPr>
          <w:rFonts w:ascii="Arial" w:hAnsi="Arial" w:cs="Arial"/>
        </w:rPr>
      </w:pPr>
      <w:r>
        <w:rPr>
          <w:rFonts w:ascii="Arial" w:hAnsi="Arial" w:cs="Arial"/>
        </w:rPr>
        <w:t>f).- Información relacionada con trámites, servicios o procesos de alto impacto para su población objetivo potencial, e</w:t>
      </w:r>
    </w:p>
    <w:p w14:paraId="041CEDAC" w14:textId="41548CDD" w:rsidR="00A32F2E" w:rsidRDefault="00C4159A" w:rsidP="001E08EE">
      <w:pPr>
        <w:rPr>
          <w:rFonts w:ascii="Arial" w:hAnsi="Arial" w:cs="Arial"/>
        </w:rPr>
      </w:pPr>
      <w:r>
        <w:rPr>
          <w:rFonts w:ascii="Arial" w:hAnsi="Arial" w:cs="Arial"/>
        </w:rPr>
        <w:t>En este Centro de Investigación no se llevan a cabo, trámites y servicios, ya que de acuerdo con el objetivo de este Cinvestav es la de formar investigadores especialistas a nivel posgrado y doctorado y expertos en diversas disciplinas científicas y tecnológicas, así como la realización de investigación básica y aplicada de carácter científico y tecnológico.</w:t>
      </w:r>
    </w:p>
    <w:p w14:paraId="746BA203" w14:textId="0E77FC2E" w:rsidR="00BD090B" w:rsidRPr="004314D4" w:rsidRDefault="00BD090B" w:rsidP="001E08EE">
      <w:pPr>
        <w:rPr>
          <w:rFonts w:ascii="Arial" w:hAnsi="Arial" w:cs="Arial"/>
        </w:rPr>
      </w:pPr>
      <w:r>
        <w:rPr>
          <w:rFonts w:ascii="Arial" w:hAnsi="Arial" w:cs="Arial"/>
        </w:rPr>
        <w:t>h).- Información de políticas, estrategias y programas públicos.</w:t>
      </w:r>
    </w:p>
    <w:p w14:paraId="5B66EB53" w14:textId="22D44E7F" w:rsidR="00917B54" w:rsidRPr="009B73CC" w:rsidRDefault="009B73CC" w:rsidP="001E08EE">
      <w:pPr>
        <w:rPr>
          <w:rFonts w:ascii="Arial" w:hAnsi="Arial" w:cs="Arial"/>
        </w:rPr>
      </w:pPr>
      <w:r w:rsidRPr="009B73CC">
        <w:rPr>
          <w:rFonts w:ascii="Arial" w:hAnsi="Arial" w:cs="Arial"/>
        </w:rPr>
        <w:t>No aplica este rubro para este Centro de Investigación.</w:t>
      </w:r>
    </w:p>
    <w:p w14:paraId="165EC218" w14:textId="77777777" w:rsidR="00917B54" w:rsidRDefault="00917B54" w:rsidP="001E08EE">
      <w:pPr>
        <w:rPr>
          <w:rFonts w:ascii="Arial" w:hAnsi="Arial" w:cs="Arial"/>
          <w:b/>
        </w:rPr>
      </w:pPr>
    </w:p>
    <w:p w14:paraId="0004F054" w14:textId="77777777" w:rsidR="00917B54" w:rsidRDefault="00917B54" w:rsidP="001E08EE">
      <w:pPr>
        <w:rPr>
          <w:rFonts w:ascii="Arial" w:hAnsi="Arial" w:cs="Arial"/>
          <w:b/>
        </w:rPr>
      </w:pPr>
    </w:p>
    <w:p w14:paraId="6A4399BC" w14:textId="3972F2B2" w:rsidR="00917B54" w:rsidRDefault="00917B54" w:rsidP="00BD090B">
      <w:pPr>
        <w:jc w:val="both"/>
        <w:rPr>
          <w:rFonts w:ascii="Arial" w:hAnsi="Arial" w:cs="Arial"/>
        </w:rPr>
      </w:pPr>
      <w:r>
        <w:rPr>
          <w:rFonts w:ascii="Arial" w:hAnsi="Arial" w:cs="Arial"/>
          <w:b/>
        </w:rPr>
        <w:lastRenderedPageBreak/>
        <w:t>Punto 2</w:t>
      </w:r>
      <w:r w:rsidR="00F11D65">
        <w:rPr>
          <w:rFonts w:ascii="Arial" w:hAnsi="Arial" w:cs="Arial"/>
          <w:b/>
        </w:rPr>
        <w:t xml:space="preserve">.- </w:t>
      </w:r>
      <w:r w:rsidR="00BD090B" w:rsidRPr="00BD090B">
        <w:rPr>
          <w:rFonts w:ascii="Arial" w:hAnsi="Arial" w:cs="Arial"/>
        </w:rPr>
        <w:t>A partir del diagnóstico el enlace de transparencia proactiva y datos abiertos, definirá un listado de posibles temas y herramientas de visualización para desarrollar un proyecto de publicación proactiva de información útil; así como el o los objetivos que perseguirá el proyecto, con base en el siguiente listado:</w:t>
      </w:r>
    </w:p>
    <w:p w14:paraId="6F9B4A0F" w14:textId="3E17D555" w:rsidR="007E5CF2" w:rsidRDefault="000133E6" w:rsidP="00BD090B">
      <w:pPr>
        <w:jc w:val="both"/>
        <w:rPr>
          <w:rFonts w:ascii="Arial" w:hAnsi="Arial" w:cs="Arial"/>
        </w:rPr>
      </w:pPr>
      <w:r>
        <w:rPr>
          <w:rFonts w:ascii="Arial" w:hAnsi="Arial" w:cs="Arial"/>
        </w:rPr>
        <w:t>Se encuentra publicado el listado de la información socialmente útil en la siguiente liga:</w:t>
      </w:r>
    </w:p>
    <w:p w14:paraId="3067CC1B" w14:textId="1023A221" w:rsidR="007E5CF2" w:rsidRDefault="00277049" w:rsidP="00BD090B">
      <w:pPr>
        <w:jc w:val="both"/>
        <w:rPr>
          <w:rFonts w:ascii="Arial" w:hAnsi="Arial" w:cs="Arial"/>
        </w:rPr>
      </w:pPr>
      <w:hyperlink r:id="rId8" w:history="1">
        <w:r w:rsidR="007E5CF2" w:rsidRPr="008E2FF0">
          <w:rPr>
            <w:rStyle w:val="Hipervnculo"/>
            <w:rFonts w:ascii="Arial" w:hAnsi="Arial" w:cs="Arial"/>
          </w:rPr>
          <w:t>http://www.cinvestav.mx/es-mx/transparenciayrc/transparenciafocalizada.aspx</w:t>
        </w:r>
      </w:hyperlink>
    </w:p>
    <w:p w14:paraId="2F68693F" w14:textId="420F82FC" w:rsidR="007E5CF2" w:rsidRDefault="007E5CF2" w:rsidP="00BD090B">
      <w:pPr>
        <w:jc w:val="both"/>
        <w:rPr>
          <w:rFonts w:ascii="Arial" w:hAnsi="Arial" w:cs="Arial"/>
        </w:rPr>
      </w:pPr>
      <w:r>
        <w:rPr>
          <w:rFonts w:ascii="Arial" w:hAnsi="Arial" w:cs="Arial"/>
        </w:rPr>
        <w:t xml:space="preserve"> </w:t>
      </w:r>
    </w:p>
    <w:p w14:paraId="45720DCC" w14:textId="507D2369" w:rsidR="00BD090B" w:rsidRDefault="00917B54" w:rsidP="007E5CF2">
      <w:pPr>
        <w:jc w:val="both"/>
        <w:rPr>
          <w:rFonts w:ascii="Arial" w:hAnsi="Arial" w:cs="Arial"/>
        </w:rPr>
      </w:pPr>
      <w:r>
        <w:rPr>
          <w:rFonts w:ascii="Arial" w:hAnsi="Arial" w:cs="Arial"/>
          <w:b/>
        </w:rPr>
        <w:t>Punto 3</w:t>
      </w:r>
      <w:r w:rsidR="00F11D65">
        <w:rPr>
          <w:rFonts w:ascii="Arial" w:hAnsi="Arial" w:cs="Arial"/>
          <w:b/>
        </w:rPr>
        <w:t xml:space="preserve">.- </w:t>
      </w:r>
      <w:r w:rsidR="00F11D65" w:rsidRPr="00F11D65">
        <w:rPr>
          <w:rFonts w:ascii="Arial" w:hAnsi="Arial" w:cs="Arial"/>
        </w:rPr>
        <w:t>L</w:t>
      </w:r>
      <w:r w:rsidR="00BD090B" w:rsidRPr="00BD090B">
        <w:rPr>
          <w:rFonts w:ascii="Arial" w:hAnsi="Arial" w:cs="Arial"/>
        </w:rPr>
        <w:t>a dependencia o entidad definirá un procedimiento de construcción de información útil que deberá incluir las siguientes fases:</w:t>
      </w:r>
    </w:p>
    <w:p w14:paraId="6BC4469D" w14:textId="3FD71E68" w:rsidR="00F11D65" w:rsidRDefault="0003459B" w:rsidP="001E08EE">
      <w:pPr>
        <w:rPr>
          <w:rFonts w:ascii="Arial" w:hAnsi="Arial" w:cs="Arial"/>
        </w:rPr>
      </w:pPr>
      <w:r>
        <w:rPr>
          <w:rFonts w:ascii="Arial" w:hAnsi="Arial" w:cs="Arial"/>
        </w:rPr>
        <w:t xml:space="preserve">La información útil para la sociedad se encuentra publicada en la página web siguiente: </w:t>
      </w:r>
      <w:hyperlink r:id="rId9" w:history="1">
        <w:r w:rsidRPr="008E2FF0">
          <w:rPr>
            <w:rStyle w:val="Hipervnculo"/>
            <w:rFonts w:ascii="Arial" w:hAnsi="Arial" w:cs="Arial"/>
          </w:rPr>
          <w:t>http://www.cinvestav.mx/es-mx/transparenciayrc/transparenciafocalizada.aspx</w:t>
        </w:r>
      </w:hyperlink>
    </w:p>
    <w:p w14:paraId="38DE0570" w14:textId="7DACBA8B" w:rsidR="0003459B" w:rsidRPr="00BD090B" w:rsidRDefault="0003459B" w:rsidP="001E08EE">
      <w:pPr>
        <w:rPr>
          <w:rFonts w:ascii="Arial" w:hAnsi="Arial" w:cs="Arial"/>
        </w:rPr>
      </w:pPr>
      <w:r>
        <w:rPr>
          <w:rFonts w:ascii="Arial" w:hAnsi="Arial" w:cs="Arial"/>
        </w:rPr>
        <w:t>En el cual se publica la oferta educativa con la que cuenta este Centro de Investigación, así como la ubicación y dirección de cada Unidad Foránea; asimismo, se cuenta con un rubro de encuentra de calidad, en el que se busca conocer la opinión de los ciudadanos, con lo cual ayuda a mejorar la información que se publica en la página.</w:t>
      </w:r>
    </w:p>
    <w:p w14:paraId="0D805D28" w14:textId="77777777" w:rsidR="0003459B" w:rsidRDefault="0003459B" w:rsidP="001E08EE">
      <w:pPr>
        <w:rPr>
          <w:rFonts w:ascii="Arial" w:hAnsi="Arial" w:cs="Arial"/>
        </w:rPr>
      </w:pPr>
    </w:p>
    <w:p w14:paraId="667D6BB7" w14:textId="77777777" w:rsidR="0003459B" w:rsidRDefault="0003459B" w:rsidP="001E08EE">
      <w:pPr>
        <w:rPr>
          <w:rFonts w:ascii="Arial" w:hAnsi="Arial" w:cs="Arial"/>
        </w:rPr>
      </w:pPr>
    </w:p>
    <w:p w14:paraId="749A4A2E" w14:textId="77777777" w:rsidR="0003459B" w:rsidRDefault="0003459B" w:rsidP="001E08EE">
      <w:pPr>
        <w:rPr>
          <w:rFonts w:ascii="Arial" w:hAnsi="Arial" w:cs="Arial"/>
        </w:rPr>
      </w:pPr>
    </w:p>
    <w:p w14:paraId="5E1CCCD5" w14:textId="77777777" w:rsidR="0003459B" w:rsidRDefault="0003459B" w:rsidP="001E08EE">
      <w:pPr>
        <w:rPr>
          <w:rFonts w:ascii="Arial" w:hAnsi="Arial" w:cs="Arial"/>
        </w:rPr>
      </w:pPr>
    </w:p>
    <w:p w14:paraId="11EAE69E" w14:textId="77777777" w:rsidR="0003459B" w:rsidRDefault="0003459B" w:rsidP="001E08EE">
      <w:pPr>
        <w:rPr>
          <w:rFonts w:ascii="Arial" w:hAnsi="Arial" w:cs="Arial"/>
        </w:rPr>
      </w:pPr>
    </w:p>
    <w:p w14:paraId="7B9DE9B3" w14:textId="77777777" w:rsidR="0003459B" w:rsidRDefault="0003459B" w:rsidP="001E08EE">
      <w:pPr>
        <w:rPr>
          <w:rFonts w:ascii="Arial" w:hAnsi="Arial" w:cs="Arial"/>
        </w:rPr>
      </w:pPr>
    </w:p>
    <w:p w14:paraId="741B81F8" w14:textId="77777777" w:rsidR="0003459B" w:rsidRDefault="0003459B" w:rsidP="001E08EE">
      <w:pPr>
        <w:rPr>
          <w:rFonts w:ascii="Arial" w:hAnsi="Arial" w:cs="Arial"/>
        </w:rPr>
      </w:pPr>
    </w:p>
    <w:p w14:paraId="5E55F05E" w14:textId="77777777" w:rsidR="0003459B" w:rsidRDefault="0003459B" w:rsidP="001E08EE">
      <w:pPr>
        <w:rPr>
          <w:rFonts w:ascii="Arial" w:hAnsi="Arial" w:cs="Arial"/>
        </w:rPr>
      </w:pPr>
    </w:p>
    <w:p w14:paraId="21F327EF" w14:textId="77777777" w:rsidR="0003459B" w:rsidRDefault="0003459B" w:rsidP="001E08EE">
      <w:pPr>
        <w:rPr>
          <w:rFonts w:ascii="Arial" w:hAnsi="Arial" w:cs="Arial"/>
        </w:rPr>
      </w:pPr>
    </w:p>
    <w:p w14:paraId="084FB0E1" w14:textId="77777777" w:rsidR="0003459B" w:rsidRDefault="0003459B" w:rsidP="001E08EE">
      <w:pPr>
        <w:rPr>
          <w:rFonts w:ascii="Arial" w:hAnsi="Arial" w:cs="Arial"/>
        </w:rPr>
      </w:pPr>
    </w:p>
    <w:p w14:paraId="10828307" w14:textId="77777777" w:rsidR="0003459B" w:rsidRDefault="0003459B" w:rsidP="001E08EE">
      <w:pPr>
        <w:rPr>
          <w:rFonts w:ascii="Arial" w:hAnsi="Arial" w:cs="Arial"/>
        </w:rPr>
      </w:pPr>
    </w:p>
    <w:p w14:paraId="79E95F8F" w14:textId="77777777" w:rsidR="0003459B" w:rsidRDefault="0003459B" w:rsidP="001E08EE">
      <w:pPr>
        <w:rPr>
          <w:rFonts w:ascii="Arial" w:hAnsi="Arial" w:cs="Arial"/>
        </w:rPr>
      </w:pPr>
    </w:p>
    <w:p w14:paraId="0903DDC0" w14:textId="77777777" w:rsidR="0003459B" w:rsidRDefault="0003459B" w:rsidP="001E08EE">
      <w:pPr>
        <w:rPr>
          <w:rFonts w:ascii="Arial" w:hAnsi="Arial" w:cs="Arial"/>
        </w:rPr>
      </w:pPr>
    </w:p>
    <w:p w14:paraId="745EB855" w14:textId="77777777" w:rsidR="0003459B" w:rsidRDefault="0003459B" w:rsidP="001E08EE">
      <w:pPr>
        <w:rPr>
          <w:rFonts w:ascii="Arial" w:hAnsi="Arial" w:cs="Arial"/>
        </w:rPr>
      </w:pPr>
    </w:p>
    <w:p w14:paraId="70D28DCF" w14:textId="77777777" w:rsidR="0003459B" w:rsidRDefault="0003459B" w:rsidP="001E08EE">
      <w:pPr>
        <w:rPr>
          <w:rFonts w:ascii="Arial" w:hAnsi="Arial" w:cs="Arial"/>
        </w:rPr>
      </w:pPr>
    </w:p>
    <w:p w14:paraId="589744FE" w14:textId="77777777" w:rsidR="0003459B" w:rsidRDefault="0003459B" w:rsidP="001E08EE">
      <w:pPr>
        <w:rPr>
          <w:rFonts w:ascii="Arial" w:hAnsi="Arial" w:cs="Arial"/>
        </w:rPr>
      </w:pPr>
    </w:p>
    <w:p w14:paraId="3E3EBBC9" w14:textId="77777777" w:rsidR="0003459B" w:rsidRDefault="0003459B" w:rsidP="001E08EE">
      <w:pPr>
        <w:rPr>
          <w:rFonts w:ascii="Arial" w:hAnsi="Arial" w:cs="Arial"/>
        </w:rPr>
      </w:pPr>
    </w:p>
    <w:p w14:paraId="71963D4F" w14:textId="77777777" w:rsidR="00917B54" w:rsidRPr="00BD090B" w:rsidRDefault="00917B54" w:rsidP="001E08EE">
      <w:pPr>
        <w:rPr>
          <w:rFonts w:ascii="Arial" w:hAnsi="Arial" w:cs="Arial"/>
        </w:rPr>
      </w:pPr>
    </w:p>
    <w:p w14:paraId="600E676B" w14:textId="38339E7A" w:rsidR="00210309" w:rsidRDefault="00210309" w:rsidP="007E5CF2">
      <w:pPr>
        <w:jc w:val="both"/>
        <w:rPr>
          <w:rFonts w:ascii="Arial" w:hAnsi="Arial" w:cs="Arial"/>
          <w:b/>
        </w:rPr>
      </w:pPr>
      <w:r>
        <w:rPr>
          <w:rFonts w:ascii="Arial" w:hAnsi="Arial" w:cs="Arial"/>
          <w:b/>
        </w:rPr>
        <w:lastRenderedPageBreak/>
        <w:t>Punto 2.2 Desarrollar los proyectos de gobierno abierto</w:t>
      </w:r>
    </w:p>
    <w:p w14:paraId="23A24F49" w14:textId="3181993C" w:rsidR="00210309" w:rsidRDefault="00411423" w:rsidP="00210309">
      <w:pPr>
        <w:jc w:val="both"/>
        <w:rPr>
          <w:rFonts w:ascii="Arial" w:hAnsi="Arial" w:cs="Arial"/>
        </w:rPr>
      </w:pPr>
      <w:r>
        <w:rPr>
          <w:rFonts w:ascii="Arial" w:hAnsi="Arial" w:cs="Arial"/>
        </w:rPr>
        <w:t xml:space="preserve">Se busca que de acuerdo con lo reportado en la hoja de ruta de acceso a la información que todas aquellas solicitudes de información que son recibidas a través del Sistema INFOMEX del INAI, </w:t>
      </w:r>
      <w:r w:rsidR="004D4A0D">
        <w:rPr>
          <w:rFonts w:ascii="Arial" w:hAnsi="Arial" w:cs="Arial"/>
        </w:rPr>
        <w:t>reduciendo el plazo establecido en la ley de 20 días hábiles, a efecto que el ciudadano tenga la certeza que se dará respuesta a su petición a la brevedad posible.</w:t>
      </w:r>
    </w:p>
    <w:p w14:paraId="1B5CEB92" w14:textId="77777777" w:rsidR="00411423" w:rsidRPr="00210309" w:rsidRDefault="00411423" w:rsidP="00210309">
      <w:pPr>
        <w:jc w:val="both"/>
        <w:rPr>
          <w:rFonts w:ascii="Arial" w:hAnsi="Arial" w:cs="Arial"/>
        </w:rPr>
      </w:pPr>
    </w:p>
    <w:sectPr w:rsidR="00411423" w:rsidRPr="002103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2E0A"/>
    <w:multiLevelType w:val="hybridMultilevel"/>
    <w:tmpl w:val="3B603B66"/>
    <w:lvl w:ilvl="0" w:tplc="5AE4336C">
      <w:start w:val="1"/>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AC97352"/>
    <w:multiLevelType w:val="hybridMultilevel"/>
    <w:tmpl w:val="14A66D1A"/>
    <w:lvl w:ilvl="0" w:tplc="C6CE8B1C">
      <w:start w:val="1"/>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6A6754A"/>
    <w:multiLevelType w:val="hybridMultilevel"/>
    <w:tmpl w:val="16B443D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AEA0226"/>
    <w:multiLevelType w:val="hybridMultilevel"/>
    <w:tmpl w:val="2D1047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74056C1"/>
    <w:multiLevelType w:val="hybridMultilevel"/>
    <w:tmpl w:val="47BEB28E"/>
    <w:lvl w:ilvl="0" w:tplc="3CC00F24">
      <w:start w:val="1"/>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F253A97"/>
    <w:multiLevelType w:val="hybridMultilevel"/>
    <w:tmpl w:val="00E005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CD60C8"/>
    <w:multiLevelType w:val="hybridMultilevel"/>
    <w:tmpl w:val="E2D6D3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7C4802"/>
    <w:multiLevelType w:val="hybridMultilevel"/>
    <w:tmpl w:val="1F601AA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7"/>
  </w:num>
  <w:num w:numId="3">
    <w:abstractNumId w:val="3"/>
  </w:num>
  <w:num w:numId="4">
    <w:abstractNumId w:val="5"/>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8EE"/>
    <w:rsid w:val="000133E6"/>
    <w:rsid w:val="0003232B"/>
    <w:rsid w:val="0003459B"/>
    <w:rsid w:val="00103391"/>
    <w:rsid w:val="00113EEE"/>
    <w:rsid w:val="001617B5"/>
    <w:rsid w:val="001E08EE"/>
    <w:rsid w:val="001F321E"/>
    <w:rsid w:val="001F5170"/>
    <w:rsid w:val="00201681"/>
    <w:rsid w:val="00210309"/>
    <w:rsid w:val="002545E0"/>
    <w:rsid w:val="00277049"/>
    <w:rsid w:val="002B6D9C"/>
    <w:rsid w:val="003D25DB"/>
    <w:rsid w:val="003E36BA"/>
    <w:rsid w:val="00411423"/>
    <w:rsid w:val="004314D4"/>
    <w:rsid w:val="00450E50"/>
    <w:rsid w:val="004D4A0D"/>
    <w:rsid w:val="004E26A9"/>
    <w:rsid w:val="004F258C"/>
    <w:rsid w:val="0050299B"/>
    <w:rsid w:val="00525C65"/>
    <w:rsid w:val="00536B04"/>
    <w:rsid w:val="005733ED"/>
    <w:rsid w:val="005A6C5F"/>
    <w:rsid w:val="005F3FD8"/>
    <w:rsid w:val="0066727D"/>
    <w:rsid w:val="00716051"/>
    <w:rsid w:val="00717A33"/>
    <w:rsid w:val="00775F5F"/>
    <w:rsid w:val="007A0BFE"/>
    <w:rsid w:val="007E5CF2"/>
    <w:rsid w:val="007F7F61"/>
    <w:rsid w:val="0083298E"/>
    <w:rsid w:val="008344BF"/>
    <w:rsid w:val="008370D0"/>
    <w:rsid w:val="008B6E05"/>
    <w:rsid w:val="00901858"/>
    <w:rsid w:val="00917B54"/>
    <w:rsid w:val="009A5D74"/>
    <w:rsid w:val="009B73CC"/>
    <w:rsid w:val="009C7A64"/>
    <w:rsid w:val="00A1016E"/>
    <w:rsid w:val="00A32F2E"/>
    <w:rsid w:val="00A72D95"/>
    <w:rsid w:val="00AC2A74"/>
    <w:rsid w:val="00AD5C88"/>
    <w:rsid w:val="00B5066B"/>
    <w:rsid w:val="00B63B56"/>
    <w:rsid w:val="00B679F6"/>
    <w:rsid w:val="00B95ECC"/>
    <w:rsid w:val="00BC43EA"/>
    <w:rsid w:val="00BD090B"/>
    <w:rsid w:val="00BF016F"/>
    <w:rsid w:val="00C12B58"/>
    <w:rsid w:val="00C3055F"/>
    <w:rsid w:val="00C4159A"/>
    <w:rsid w:val="00C42CCB"/>
    <w:rsid w:val="00C849F7"/>
    <w:rsid w:val="00C84BFC"/>
    <w:rsid w:val="00CA2F8A"/>
    <w:rsid w:val="00D06AC5"/>
    <w:rsid w:val="00D21D2B"/>
    <w:rsid w:val="00D86002"/>
    <w:rsid w:val="00D90C02"/>
    <w:rsid w:val="00DC05EE"/>
    <w:rsid w:val="00E018E3"/>
    <w:rsid w:val="00E21E2B"/>
    <w:rsid w:val="00E43FED"/>
    <w:rsid w:val="00E957ED"/>
    <w:rsid w:val="00EC49B3"/>
    <w:rsid w:val="00F1104D"/>
    <w:rsid w:val="00F11D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443B4"/>
  <w15:chartTrackingRefBased/>
  <w15:docId w15:val="{FECFEE55-74A0-40D1-95FF-0D3B3EE6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08EE"/>
    <w:pPr>
      <w:ind w:left="720"/>
      <w:contextualSpacing/>
    </w:pPr>
  </w:style>
  <w:style w:type="table" w:styleId="Tablaconcuadrcula">
    <w:name w:val="Table Grid"/>
    <w:basedOn w:val="Tablanormal"/>
    <w:uiPriority w:val="39"/>
    <w:rsid w:val="001E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21D2B"/>
    <w:rPr>
      <w:sz w:val="16"/>
      <w:szCs w:val="16"/>
    </w:rPr>
  </w:style>
  <w:style w:type="paragraph" w:styleId="Textocomentario">
    <w:name w:val="annotation text"/>
    <w:basedOn w:val="Normal"/>
    <w:link w:val="TextocomentarioCar"/>
    <w:uiPriority w:val="99"/>
    <w:semiHidden/>
    <w:unhideWhenUsed/>
    <w:rsid w:val="00D21D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1D2B"/>
    <w:rPr>
      <w:sz w:val="20"/>
      <w:szCs w:val="20"/>
    </w:rPr>
  </w:style>
  <w:style w:type="paragraph" w:styleId="Asuntodelcomentario">
    <w:name w:val="annotation subject"/>
    <w:basedOn w:val="Textocomentario"/>
    <w:next w:val="Textocomentario"/>
    <w:link w:val="AsuntodelcomentarioCar"/>
    <w:uiPriority w:val="99"/>
    <w:semiHidden/>
    <w:unhideWhenUsed/>
    <w:rsid w:val="00D21D2B"/>
    <w:rPr>
      <w:b/>
      <w:bCs/>
    </w:rPr>
  </w:style>
  <w:style w:type="character" w:customStyle="1" w:styleId="AsuntodelcomentarioCar">
    <w:name w:val="Asunto del comentario Car"/>
    <w:basedOn w:val="TextocomentarioCar"/>
    <w:link w:val="Asuntodelcomentario"/>
    <w:uiPriority w:val="99"/>
    <w:semiHidden/>
    <w:rsid w:val="00D21D2B"/>
    <w:rPr>
      <w:b/>
      <w:bCs/>
      <w:sz w:val="20"/>
      <w:szCs w:val="20"/>
    </w:rPr>
  </w:style>
  <w:style w:type="paragraph" w:styleId="Textodeglobo">
    <w:name w:val="Balloon Text"/>
    <w:basedOn w:val="Normal"/>
    <w:link w:val="TextodegloboCar"/>
    <w:uiPriority w:val="99"/>
    <w:semiHidden/>
    <w:unhideWhenUsed/>
    <w:rsid w:val="00D21D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1D2B"/>
    <w:rPr>
      <w:rFonts w:ascii="Segoe UI" w:hAnsi="Segoe UI" w:cs="Segoe UI"/>
      <w:sz w:val="18"/>
      <w:szCs w:val="18"/>
    </w:rPr>
  </w:style>
  <w:style w:type="character" w:styleId="Hipervnculo">
    <w:name w:val="Hyperlink"/>
    <w:basedOn w:val="Fuentedeprrafopredeter"/>
    <w:uiPriority w:val="99"/>
    <w:unhideWhenUsed/>
    <w:rsid w:val="00C84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vestav.mx/es-mx/transparenciayrc/transparenciafocalizada.aspx" TargetMode="External"/><Relationship Id="rId3" Type="http://schemas.openxmlformats.org/officeDocument/2006/relationships/styles" Target="styles.xml"/><Relationship Id="rId7" Type="http://schemas.openxmlformats.org/officeDocument/2006/relationships/hyperlink" Target="http://www.cinvestav.mx/es-mx/transparenciayrc/transparenciafocalizada.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nvestav.mx/es-mx/transparenciayrc/transparenciafocalizada.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nvestav.mx/es-mx/transparenciayrc/transparenciafocalizada.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F04E-FCAE-41F5-8838-314D5016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5716</Characters>
  <Application>Microsoft Office Word</Application>
  <DocSecurity>0</DocSecurity>
  <Lines>198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Jimenez</dc:creator>
  <cp:keywords/>
  <dc:description/>
  <cp:lastModifiedBy>Raymundo Antonio González Segura</cp:lastModifiedBy>
  <cp:revision>2</cp:revision>
  <cp:lastPrinted>2017-08-23T18:46:00Z</cp:lastPrinted>
  <dcterms:created xsi:type="dcterms:W3CDTF">2024-05-02T20:17:00Z</dcterms:created>
  <dcterms:modified xsi:type="dcterms:W3CDTF">2024-05-02T20:17:00Z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56c385b7c64259b16cefe906a7187e537b0f256cd2c157ebcedc703d98035d07</vt:lpwstr>
  </property>
</Properties>
</file>